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cs="Times New Roman"/>
          <w:b/>
          <w:i/>
          <w:sz w:val="24"/>
          <w:szCs w:val="24"/>
        </w:rPr>
      </w:pPr>
    </w:p>
    <w:p>
      <w:pPr>
        <w:spacing w:after="0" w:line="240" w:lineRule="auto"/>
        <w:jc w:val="center"/>
        <w:rPr>
          <w:rFonts w:ascii="Times New Roman" w:hAnsi="Times New Roman" w:eastAsia="Times New Roman" w:cs="Times New Roman"/>
          <w:b/>
          <w:i/>
          <w:sz w:val="24"/>
          <w:szCs w:val="24"/>
        </w:rPr>
      </w:pPr>
    </w:p>
    <w:p>
      <w:pPr>
        <w:spacing w:after="0" w:line="240" w:lineRule="auto"/>
        <w:jc w:val="center"/>
        <w:rPr>
          <w:rFonts w:ascii="Times New Roman" w:hAnsi="Times New Roman" w:eastAsia="Times New Roman" w:cs="Times New Roman"/>
          <w:b/>
          <w:i/>
          <w:sz w:val="24"/>
          <w:szCs w:val="24"/>
        </w:rPr>
      </w:pPr>
    </w:p>
    <w:p>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Обґрунтування технічних і якісних характеристик предмета закупівлі та очікуваної вартості предмета закупівлі на виконання постанови КМУ від 11.10.2016 № 710 "Про ефективне використання державних коштів" </w:t>
      </w:r>
    </w:p>
    <w:p>
      <w:pPr>
        <w:shd w:val="clear" w:color="auto" w:fill="FFFFFF"/>
        <w:spacing w:after="0" w:line="240" w:lineRule="auto"/>
        <w:jc w:val="both"/>
        <w:rPr>
          <w:rFonts w:ascii="Times New Roman" w:hAnsi="Times New Roman" w:eastAsia="Times New Roman" w:cs="Times New Roman"/>
          <w:sz w:val="24"/>
          <w:szCs w:val="24"/>
          <w:lang w:eastAsia="uk-UA"/>
        </w:rPr>
      </w:pPr>
      <w:r>
        <w:rPr>
          <w:rFonts w:ascii="Times New Roman" w:hAnsi="Times New Roman" w:cs="Times New Roman"/>
          <w:b/>
          <w:bCs/>
          <w:sz w:val="24"/>
          <w:szCs w:val="24"/>
        </w:rPr>
        <w:t xml:space="preserve">Закупівля: </w:t>
      </w:r>
      <w:r>
        <w:rPr>
          <w:rFonts w:ascii="Times New Roman" w:hAnsi="Times New Roman" w:eastAsia="Times New Roman" w:cs="Times New Roman"/>
          <w:b/>
          <w:sz w:val="24"/>
          <w:szCs w:val="24"/>
          <w:lang w:eastAsia="uk-UA"/>
        </w:rPr>
        <w:t>Електрична енергія, код 09310000-5 – Електрична енергія</w:t>
      </w:r>
      <w:r>
        <w:rPr>
          <w:rFonts w:hint="default" w:ascii="Times New Roman" w:hAnsi="Times New Roman" w:eastAsia="Times New Roman" w:cs="Times New Roman"/>
          <w:b/>
          <w:sz w:val="24"/>
          <w:szCs w:val="24"/>
          <w:lang w:val="en-US" w:eastAsia="uk-UA"/>
        </w:rPr>
        <w:t xml:space="preserve"> </w:t>
      </w:r>
      <w:r>
        <w:rPr>
          <w:rFonts w:ascii="Times New Roman" w:hAnsi="Times New Roman" w:eastAsia="Times New Roman" w:cs="Times New Roman"/>
          <w:b/>
          <w:sz w:val="24"/>
          <w:szCs w:val="24"/>
          <w:lang w:eastAsia="uk-UA"/>
        </w:rPr>
        <w:t>за ДК 021:2015 «Єдиний закупівельний словник»</w:t>
      </w:r>
    </w:p>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Ознайомитись із тендерною процедурою можна за відповідним посиланням нижче: </w:t>
      </w:r>
      <w:r>
        <w:rPr>
          <w:rFonts w:hint="default" w:ascii="Times New Roman" w:hAnsi="Times New Roman"/>
          <w:b/>
          <w:bCs/>
          <w:sz w:val="24"/>
          <w:szCs w:val="24"/>
        </w:rPr>
        <w:t>https://www.dzo.com.ua/tenders/21562416</w:t>
      </w:r>
    </w:p>
    <w:p>
      <w:pPr>
        <w:spacing w:after="0" w:line="240" w:lineRule="auto"/>
        <w:jc w:val="both"/>
        <w:rPr>
          <w:rFonts w:ascii="Times New Roman" w:hAnsi="Times New Roman" w:eastAsia="Times New Roman" w:cs="Times New Roman"/>
          <w:b/>
          <w:i/>
          <w:sz w:val="24"/>
          <w:szCs w:val="24"/>
        </w:rPr>
      </w:pPr>
      <w:bookmarkStart w:id="0" w:name="_GoBack"/>
      <w:bookmarkEnd w:id="0"/>
    </w:p>
    <w:p>
      <w:pPr>
        <w:spacing w:after="0" w:line="240" w:lineRule="auto"/>
        <w:jc w:val="center"/>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ТЕХНІЧНА СПЕЦИФІКАЦІЯ</w:t>
      </w:r>
    </w:p>
    <w:p>
      <w:pPr>
        <w:spacing w:after="0" w:line="240" w:lineRule="auto"/>
        <w:jc w:val="center"/>
        <w:rPr>
          <w:rFonts w:ascii="Times New Roman" w:hAnsi="Times New Roman" w:eastAsia="Times New Roman" w:cs="Times New Roman"/>
          <w:b/>
          <w:i/>
          <w:sz w:val="24"/>
          <w:szCs w:val="24"/>
        </w:rPr>
      </w:pPr>
    </w:p>
    <w:p>
      <w:pPr>
        <w:spacing w:before="240" w:after="240" w:line="240" w:lineRule="auto"/>
        <w:ind w:firstLine="720"/>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законодавства.</w:t>
      </w:r>
    </w:p>
    <w:p>
      <w:pPr>
        <w:shd w:val="clear" w:color="auto" w:fill="FFFFFF"/>
        <w:spacing w:after="0" w:line="240" w:lineRule="auto"/>
        <w:ind w:firstLine="460"/>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    Фактом подання тендерної пропозиції учасник підтверджує відповідність своєї пропозиції</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b/>
          <w:bCs/>
          <w:sz w:val="20"/>
          <w:szCs w:val="20"/>
          <w:lang w:eastAsia="ru-RU"/>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поставки товару, у відповідності до вимог, визначених згідно з умовами тендерної документації.</w:t>
      </w:r>
    </w:p>
    <w:p>
      <w:pPr>
        <w:spacing w:after="0" w:line="240" w:lineRule="auto"/>
        <w:ind w:firstLine="720"/>
        <w:contextualSpacing/>
        <w:jc w:val="both"/>
        <w:rPr>
          <w:rFonts w:ascii="Times New Roman" w:hAnsi="Times New Roman" w:cs="Times New Roman"/>
          <w:i/>
          <w:iCs/>
          <w:sz w:val="20"/>
          <w:szCs w:val="20"/>
          <w:lang w:eastAsia="en-US"/>
        </w:rPr>
      </w:pPr>
      <w:r>
        <w:rPr>
          <w:rFonts w:ascii="Times New Roman" w:hAnsi="Times New Roman" w:eastAsia="Times New Roman" w:cs="Times New Roman"/>
          <w:i/>
          <w:iCs/>
          <w:sz w:val="20"/>
          <w:szCs w:val="20"/>
          <w:shd w:val="clear" w:color="auto" w:fill="FFFFFF"/>
          <w:lang w:eastAsia="ru-RU"/>
        </w:rPr>
        <w:t xml:space="preserve"> 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pPr>
        <w:spacing w:after="0" w:line="240" w:lineRule="auto"/>
        <w:ind w:firstLine="708"/>
        <w:contextualSpacing/>
        <w:jc w:val="both"/>
        <w:rPr>
          <w:rFonts w:ascii="Times New Roman" w:hAnsi="Times New Roman" w:eastAsia="Times New Roman" w:cs="Times New Roman"/>
          <w:i/>
          <w:iCs/>
          <w:sz w:val="20"/>
          <w:szCs w:val="20"/>
          <w:shd w:val="clear" w:color="auto" w:fill="FFFFFF"/>
          <w:lang w:eastAsia="ru-RU"/>
        </w:rPr>
      </w:pPr>
      <w:r>
        <w:rPr>
          <w:rFonts w:ascii="Times New Roman" w:hAnsi="Times New Roman" w:eastAsia="Times New Roman" w:cs="Times New Roman"/>
          <w:i/>
          <w:iCs/>
          <w:sz w:val="20"/>
          <w:szCs w:val="20"/>
          <w:shd w:val="clear" w:color="auto" w:fill="FFFFFF"/>
          <w:lang w:eastAsia="ru-RU"/>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pPr>
        <w:shd w:val="clear" w:color="auto" w:fill="FFFFFF"/>
        <w:spacing w:after="0" w:line="240" w:lineRule="auto"/>
        <w:ind w:firstLine="708"/>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pPr>
        <w:shd w:val="clear" w:color="auto" w:fill="FFFFFF"/>
        <w:jc w:val="both"/>
        <w:textAlignment w:val="baseline"/>
        <w:rPr>
          <w:rFonts w:ascii="Times New Roman" w:hAnsi="Times New Roman" w:eastAsia="Times New Roman" w:cs="Times New Roman"/>
          <w:iCs/>
          <w:sz w:val="20"/>
          <w:szCs w:val="20"/>
          <w:lang w:eastAsia="en-US"/>
        </w:rPr>
      </w:pPr>
      <w:r>
        <w:rPr>
          <w:rFonts w:ascii="Times New Roman" w:hAnsi="Times New Roman" w:eastAsia="Times New Roman" w:cs="Times New Roman"/>
          <w:iCs/>
          <w:sz w:val="24"/>
          <w:szCs w:val="24"/>
          <w:lang w:eastAsia="en-US"/>
        </w:rPr>
        <w:t xml:space="preserve">           </w:t>
      </w:r>
      <w:r>
        <w:rPr>
          <w:rFonts w:ascii="Times New Roman" w:hAnsi="Times New Roman" w:eastAsia="Times New Roman" w:cs="Times New Roman"/>
          <w:iCs/>
          <w:sz w:val="20"/>
          <w:szCs w:val="20"/>
          <w:lang w:eastAsia="en-U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pPr>
        <w:shd w:val="clear" w:color="auto" w:fill="FFFFFF"/>
        <w:spacing w:after="0" w:line="240" w:lineRule="auto"/>
        <w:contextualSpacing/>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Детальний опис предмета закупівлі та вимоги щодо якості </w:t>
      </w:r>
    </w:p>
    <w:p>
      <w:pPr>
        <w:shd w:val="clear" w:color="auto" w:fill="FFFFFF"/>
        <w:spacing w:after="0" w:line="240" w:lineRule="auto"/>
        <w:contextualSpacing/>
        <w:jc w:val="both"/>
        <w:rPr>
          <w:rFonts w:ascii="Times New Roman" w:hAnsi="Times New Roman" w:eastAsia="Times New Roman" w:cs="Times New Roman"/>
          <w:sz w:val="20"/>
          <w:szCs w:val="20"/>
          <w:lang w:eastAsia="ru-RU"/>
        </w:rPr>
      </w:pPr>
    </w:p>
    <w:tbl>
      <w:tblPr>
        <w:tblStyle w:val="3"/>
        <w:tblW w:w="9781"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9"/>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3119" w:type="dxa"/>
            <w:tcBorders>
              <w:top w:val="single" w:color="auto" w:sz="6" w:space="0"/>
              <w:left w:val="single" w:color="auto" w:sz="6" w:space="0"/>
              <w:bottom w:val="single" w:color="auto" w:sz="6" w:space="0"/>
              <w:right w:val="single" w:color="auto" w:sz="6" w:space="0"/>
            </w:tcBorders>
            <w:vAlign w:val="center"/>
          </w:tcPr>
          <w:p>
            <w:pPr>
              <w:spacing w:line="240" w:lineRule="auto"/>
              <w:rPr>
                <w:rFonts w:ascii="Times New Roman" w:hAnsi="Times New Roman" w:cs="Times New Roman"/>
                <w:sz w:val="24"/>
                <w:szCs w:val="24"/>
                <w:lang w:eastAsia="en-US"/>
              </w:rPr>
            </w:pPr>
          </w:p>
          <w:p>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en-US"/>
              </w:rPr>
              <w:t xml:space="preserve">Конкретне </w:t>
            </w:r>
            <w:r>
              <w:rPr>
                <w:rFonts w:ascii="Times New Roman" w:hAnsi="Times New Roman" w:cs="Times New Roman"/>
                <w:sz w:val="24"/>
                <w:szCs w:val="24"/>
              </w:rPr>
              <w:t>найменування закупівлі</w:t>
            </w:r>
          </w:p>
        </w:tc>
        <w:tc>
          <w:tcPr>
            <w:tcW w:w="6662"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 w:val="24"/>
                <w:szCs w:val="24"/>
                <w:lang w:eastAsia="en-US"/>
              </w:rPr>
            </w:pPr>
            <w:r>
              <w:rPr>
                <w:rFonts w:ascii="Times New Roman" w:hAnsi="Times New Roman" w:cs="Times New Roman"/>
                <w:color w:val="000000"/>
                <w:sz w:val="24"/>
                <w:szCs w:val="24"/>
                <w:lang w:eastAsia="ru-RU"/>
              </w:rPr>
              <w:t xml:space="preserve">Електрична енергія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119" w:type="dxa"/>
            <w:tcBorders>
              <w:top w:val="single" w:color="auto" w:sz="6" w:space="0"/>
              <w:left w:val="single" w:color="auto" w:sz="6" w:space="0"/>
              <w:bottom w:val="single" w:color="auto" w:sz="6" w:space="0"/>
              <w:right w:val="single" w:color="auto" w:sz="6" w:space="0"/>
            </w:tcBorders>
            <w:vAlign w:val="center"/>
          </w:tcPr>
          <w:p>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Код ДК 021:2015</w:t>
            </w:r>
          </w:p>
        </w:tc>
        <w:tc>
          <w:tcPr>
            <w:tcW w:w="6662"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 w:val="24"/>
                <w:szCs w:val="24"/>
                <w:lang w:eastAsia="en-US"/>
              </w:rPr>
            </w:pPr>
            <w:r>
              <w:rPr>
                <w:rFonts w:ascii="Times New Roman" w:hAnsi="Times New Roman" w:cs="Times New Roman"/>
                <w:sz w:val="24"/>
                <w:szCs w:val="24"/>
                <w:lang w:eastAsia="en-US"/>
              </w:rPr>
              <w:t>09310000-5 «Електрична енергія»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119" w:type="dxa"/>
            <w:tcBorders>
              <w:top w:val="single" w:color="auto" w:sz="6" w:space="0"/>
              <w:left w:val="single" w:color="auto" w:sz="6" w:space="0"/>
              <w:bottom w:val="single" w:color="auto" w:sz="6" w:space="0"/>
              <w:right w:val="single" w:color="auto" w:sz="6" w:space="0"/>
            </w:tcBorders>
            <w:vAlign w:val="center"/>
          </w:tcPr>
          <w:p>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en-US"/>
              </w:rPr>
              <w:t>Строк поставки товару</w:t>
            </w:r>
          </w:p>
        </w:tc>
        <w:tc>
          <w:tcPr>
            <w:tcW w:w="6662" w:type="dxa"/>
            <w:tcBorders>
              <w:top w:val="single" w:color="auto" w:sz="6" w:space="0"/>
              <w:left w:val="single" w:color="auto" w:sz="6" w:space="0"/>
              <w:bottom w:val="single" w:color="auto" w:sz="6" w:space="0"/>
              <w:right w:val="single" w:color="auto" w:sz="6" w:space="0"/>
            </w:tcBorders>
          </w:tcPr>
          <w:p>
            <w:pPr>
              <w:rPr>
                <w:rFonts w:ascii="Times New Roman" w:hAnsi="Times New Roman" w:cs="Times New Roman"/>
                <w:sz w:val="24"/>
                <w:szCs w:val="24"/>
                <w:shd w:val="clear" w:color="auto" w:fill="FFFFFF"/>
              </w:rPr>
            </w:pPr>
            <w:r>
              <w:rPr>
                <w:rFonts w:ascii="Times New Roman" w:hAnsi="Times New Roman" w:cs="Times New Roman"/>
                <w:color w:val="000000"/>
                <w:sz w:val="24"/>
                <w:szCs w:val="24"/>
                <w:lang w:eastAsia="en-US"/>
              </w:rPr>
              <w:t>З 01.01.2024 р. до  31.12.2024 р. включно</w:t>
            </w:r>
          </w:p>
        </w:tc>
      </w:tr>
    </w:tbl>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Обсяг постачання електричної енергії - 72000 </w:t>
      </w:r>
      <w:r>
        <w:rPr>
          <w:rFonts w:ascii="Times New Roman" w:hAnsi="Times New Roman" w:cs="Times New Roman"/>
          <w:b/>
          <w:sz w:val="24"/>
          <w:szCs w:val="24"/>
          <w:lang w:eastAsia="ru-RU"/>
        </w:rPr>
        <w:t>кВт*год</w:t>
      </w:r>
    </w:p>
    <w:p>
      <w:pPr>
        <w:widowControl w:val="0"/>
        <w:spacing w:after="0" w:line="240" w:lineRule="auto"/>
        <w:ind w:right="120"/>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 xml:space="preserve">Місце постачання: </w:t>
      </w:r>
    </w:p>
    <w:p>
      <w:pPr>
        <w:widowControl w:val="0"/>
        <w:spacing w:after="0" w:line="240" w:lineRule="auto"/>
        <w:ind w:right="120"/>
        <w:jc w:val="both"/>
        <w:rPr>
          <w:rFonts w:ascii="Times New Roman" w:hAnsi="Times New Roman" w:eastAsia="Times New Roman" w:cs="Times New Roman"/>
          <w:sz w:val="24"/>
          <w:szCs w:val="24"/>
        </w:rPr>
      </w:pPr>
      <w:r>
        <w:rPr>
          <w:rFonts w:ascii="Times New Roman" w:hAnsi="Times New Roman" w:cs="Times New Roman"/>
          <w:sz w:val="24"/>
        </w:rPr>
        <w:t>Місце</w:t>
      </w:r>
      <w:r>
        <w:rPr>
          <w:rFonts w:ascii="Times New Roman" w:hAnsi="Times New Roman" w:eastAsia="Times New Roman" w:cs="Times New Roman"/>
          <w:sz w:val="24"/>
          <w:szCs w:val="24"/>
        </w:rPr>
        <w:t xml:space="preserve"> </w:t>
      </w:r>
      <w:r>
        <w:rPr>
          <w:rFonts w:ascii="Times New Roman" w:hAnsi="Times New Roman" w:cs="Times New Roman"/>
          <w:sz w:val="24"/>
        </w:rPr>
        <w:t>поставки</w:t>
      </w:r>
      <w:r>
        <w:rPr>
          <w:rFonts w:ascii="Times New Roman" w:hAnsi="Times New Roman" w:eastAsia="Times New Roman" w:cs="Times New Roman"/>
          <w:sz w:val="24"/>
          <w:szCs w:val="24"/>
        </w:rPr>
        <w:t xml:space="preserve">: </w:t>
      </w:r>
    </w:p>
    <w:p>
      <w:pPr>
        <w:widowControl w:val="0"/>
        <w:numPr>
          <w:ilvl w:val="0"/>
          <w:numId w:val="1"/>
        </w:numPr>
        <w:spacing w:after="0" w:line="240" w:lineRule="auto"/>
        <w:ind w:right="120"/>
        <w:contextualSpacing/>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с. Урич, вул. Т. Шевченка, 102;</w:t>
      </w:r>
    </w:p>
    <w:p>
      <w:pPr>
        <w:widowControl w:val="0"/>
        <w:numPr>
          <w:ilvl w:val="0"/>
          <w:numId w:val="1"/>
        </w:numPr>
        <w:spacing w:after="0" w:line="240" w:lineRule="auto"/>
        <w:ind w:right="120"/>
        <w:contextualSpacing/>
        <w:jc w:val="both"/>
        <w:rPr>
          <w:rFonts w:ascii="Times New Roman" w:hAnsi="Times New Roman" w:eastAsia="Times New Roman" w:cs="Times New Roman"/>
          <w:b/>
          <w:bCs/>
          <w:sz w:val="24"/>
          <w:szCs w:val="24"/>
          <w:shd w:val="clear" w:color="auto" w:fill="FFFFFF"/>
          <w:lang w:eastAsia="ru-RU"/>
        </w:rPr>
      </w:pPr>
      <w:r>
        <w:rPr>
          <w:rFonts w:ascii="Times New Roman" w:hAnsi="Times New Roman" w:eastAsia="Times New Roman" w:cs="Times New Roman"/>
          <w:b/>
          <w:bCs/>
          <w:sz w:val="24"/>
          <w:szCs w:val="24"/>
          <w:shd w:val="clear" w:color="auto" w:fill="FFFFFF"/>
          <w:lang w:eastAsia="ru-RU"/>
        </w:rPr>
        <w:t>с. Урич, вул. Т. Шевченка, 214;</w:t>
      </w:r>
    </w:p>
    <w:p>
      <w:pPr>
        <w:widowControl w:val="0"/>
        <w:numPr>
          <w:ilvl w:val="0"/>
          <w:numId w:val="1"/>
        </w:numPr>
        <w:spacing w:after="0" w:line="240" w:lineRule="auto"/>
        <w:ind w:right="120"/>
        <w:contextualSpacing/>
        <w:jc w:val="both"/>
        <w:rPr>
          <w:rFonts w:ascii="Times New Roman" w:hAnsi="Times New Roman" w:eastAsia="Times New Roman" w:cs="Times New Roman"/>
          <w:b/>
          <w:bCs/>
          <w:sz w:val="24"/>
          <w:szCs w:val="24"/>
          <w:shd w:val="clear" w:color="auto" w:fill="FFFFFF"/>
          <w:lang w:eastAsia="ru-RU"/>
        </w:rPr>
      </w:pPr>
      <w:r>
        <w:rPr>
          <w:rFonts w:ascii="Times New Roman" w:hAnsi="Times New Roman" w:eastAsia="Times New Roman" w:cs="Times New Roman"/>
          <w:b/>
          <w:bCs/>
          <w:sz w:val="24"/>
          <w:szCs w:val="24"/>
          <w:shd w:val="clear" w:color="auto" w:fill="FFFFFF"/>
          <w:lang w:eastAsia="ru-RU"/>
        </w:rPr>
        <w:t>с. Урич, вул. Т. Шевченка, 49;</w:t>
      </w:r>
    </w:p>
    <w:p>
      <w:pPr>
        <w:widowControl w:val="0"/>
        <w:numPr>
          <w:ilvl w:val="0"/>
          <w:numId w:val="1"/>
        </w:numPr>
        <w:spacing w:after="0" w:line="240" w:lineRule="auto"/>
        <w:ind w:right="120"/>
        <w:contextualSpacing/>
        <w:jc w:val="both"/>
        <w:rPr>
          <w:rFonts w:ascii="Times New Roman" w:hAnsi="Times New Roman" w:eastAsia="Times New Roman" w:cs="Times New Roman"/>
          <w:b/>
          <w:bCs/>
          <w:sz w:val="24"/>
          <w:szCs w:val="24"/>
          <w:shd w:val="clear" w:color="auto" w:fill="FFFFFF"/>
          <w:lang w:eastAsia="ru-RU"/>
        </w:rPr>
      </w:pPr>
      <w:r>
        <w:rPr>
          <w:rFonts w:ascii="Times New Roman" w:hAnsi="Times New Roman" w:eastAsia="Times New Roman" w:cs="Times New Roman"/>
          <w:b/>
          <w:bCs/>
          <w:sz w:val="24"/>
          <w:szCs w:val="24"/>
          <w:shd w:val="clear" w:color="auto" w:fill="FFFFFF"/>
          <w:lang w:eastAsia="ru-RU"/>
        </w:rPr>
        <w:t>с. Урич;</w:t>
      </w:r>
    </w:p>
    <w:p>
      <w:pPr>
        <w:numPr>
          <w:ilvl w:val="0"/>
          <w:numId w:val="1"/>
        </w:numPr>
        <w:contextualSpacing/>
        <w:jc w:val="both"/>
        <w:rPr>
          <w:rFonts w:ascii="Times New Roman" w:hAnsi="Times New Roman" w:cs="Times New Roman" w:eastAsiaTheme="minorHAnsi"/>
          <w:b/>
          <w:color w:val="454545"/>
          <w:sz w:val="24"/>
          <w:szCs w:val="24"/>
          <w:lang w:eastAsia="en-US"/>
        </w:rPr>
      </w:pPr>
      <w:r>
        <w:rPr>
          <w:rFonts w:ascii="Times New Roman" w:hAnsi="Times New Roman" w:cs="Times New Roman" w:eastAsiaTheme="minorHAnsi"/>
          <w:b/>
          <w:sz w:val="24"/>
          <w:szCs w:val="24"/>
          <w:lang w:eastAsia="en-US"/>
        </w:rPr>
        <w:t>м. Львів, М. Скорика, 17</w:t>
      </w:r>
    </w:p>
    <w:p>
      <w:pPr>
        <w:widowControl w:val="0"/>
        <w:spacing w:after="0" w:line="240" w:lineRule="auto"/>
        <w:ind w:right="120"/>
        <w:jc w:val="both"/>
        <w:rPr>
          <w:rFonts w:ascii="Times New Roman" w:hAnsi="Times New Roman" w:eastAsia="Times New Roman" w:cs="Times New Roman"/>
          <w:b/>
          <w:color w:val="000000"/>
          <w:sz w:val="24"/>
          <w:szCs w:val="24"/>
          <w:lang w:eastAsia="ru-RU"/>
        </w:rPr>
      </w:pPr>
      <w:r>
        <w:rPr>
          <w:rFonts w:ascii="Times New Roman" w:hAnsi="Times New Roman" w:cs="Times New Roman"/>
          <w:sz w:val="24"/>
          <w:szCs w:val="24"/>
          <w:lang w:eastAsia="en-US"/>
        </w:rPr>
        <w:t>Параметри якості електричної енергії в точках приєднання Споживача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(EN 50160:2010, IDT).</w:t>
      </w:r>
    </w:p>
    <w:p>
      <w:pPr>
        <w:tabs>
          <w:tab w:val="left" w:pos="993"/>
          <w:tab w:val="left" w:pos="1560"/>
        </w:tabs>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Постачання електричної енергії споживачу регулюється чинним законодавством України:</w:t>
      </w:r>
    </w:p>
    <w:p>
      <w:pPr>
        <w:numPr>
          <w:ilvl w:val="0"/>
          <w:numId w:val="2"/>
        </w:numPr>
        <w:tabs>
          <w:tab w:val="left" w:pos="284"/>
        </w:tabs>
        <w:suppressAutoHyphens/>
        <w:spacing w:after="0" w:line="0" w:lineRule="atLeast"/>
        <w:ind w:left="0"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Кодексом систем розподілу, затвердженого постановою Національної комісії регулювання   </w:t>
      </w:r>
    </w:p>
    <w:p>
      <w:pPr>
        <w:tabs>
          <w:tab w:val="left" w:pos="284"/>
        </w:tabs>
        <w:suppressAutoHyphens/>
        <w:spacing w:after="0" w:line="0" w:lineRule="atLeast"/>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електроенергетики та комунальних послуг України від 14.03.2018 № 310;</w:t>
      </w:r>
    </w:p>
    <w:p>
      <w:pPr>
        <w:numPr>
          <w:ilvl w:val="0"/>
          <w:numId w:val="2"/>
        </w:numPr>
        <w:tabs>
          <w:tab w:val="left" w:pos="284"/>
        </w:tabs>
        <w:suppressAutoHyphens/>
        <w:spacing w:after="0" w:line="0" w:lineRule="atLeast"/>
        <w:ind w:left="0"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Кодексом системи передачі, затвердженого постановою Національної комісії регулювання </w:t>
      </w:r>
    </w:p>
    <w:p>
      <w:pPr>
        <w:tabs>
          <w:tab w:val="left" w:pos="284"/>
        </w:tabs>
        <w:suppressAutoHyphens/>
        <w:spacing w:after="0" w:line="0" w:lineRule="atLeast"/>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електроенергетики та комунальних послуг України від 14.03.2018 № 309;</w:t>
      </w:r>
    </w:p>
    <w:p>
      <w:pPr>
        <w:numPr>
          <w:ilvl w:val="0"/>
          <w:numId w:val="2"/>
        </w:numPr>
        <w:tabs>
          <w:tab w:val="left" w:pos="284"/>
        </w:tabs>
        <w:suppressAutoHyphens/>
        <w:spacing w:after="0" w:line="0" w:lineRule="atLeast"/>
        <w:ind w:left="0"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Законом України від 13.04.2017 № 2019-VIII «Про ринок електричної енергії»;</w:t>
      </w:r>
    </w:p>
    <w:p>
      <w:pPr>
        <w:numPr>
          <w:ilvl w:val="0"/>
          <w:numId w:val="2"/>
        </w:numPr>
        <w:tabs>
          <w:tab w:val="left" w:pos="284"/>
        </w:tabs>
        <w:suppressAutoHyphens/>
        <w:spacing w:after="0" w:line="0" w:lineRule="atLeast"/>
        <w:ind w:left="0"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Правилами роздрібного ринку електричної енергії, затвердженими постановою </w:t>
      </w:r>
    </w:p>
    <w:p>
      <w:pPr>
        <w:tabs>
          <w:tab w:val="left" w:pos="284"/>
        </w:tabs>
        <w:suppressAutoHyphens/>
        <w:spacing w:after="0" w:line="0" w:lineRule="atLeast"/>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Національної комісії регулювання електроенергетики та комунальних послуг України від      </w:t>
      </w:r>
    </w:p>
    <w:p>
      <w:pPr>
        <w:tabs>
          <w:tab w:val="left" w:pos="284"/>
        </w:tabs>
        <w:suppressAutoHyphens/>
        <w:spacing w:after="0" w:line="0" w:lineRule="atLeast"/>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14.03.2018 № 312.</w:t>
      </w:r>
    </w:p>
    <w:p>
      <w:pPr>
        <w:numPr>
          <w:ilvl w:val="0"/>
          <w:numId w:val="2"/>
        </w:numPr>
        <w:tabs>
          <w:tab w:val="left" w:pos="284"/>
        </w:tabs>
        <w:suppressAutoHyphens/>
        <w:spacing w:after="0" w:line="0" w:lineRule="atLeast"/>
        <w:ind w:left="0"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Постановою НКРЕКП</w:t>
      </w:r>
      <w:r>
        <w:rPr>
          <w:rFonts w:ascii="Times New Roman" w:hAnsi="Times New Roman" w:cs="Times New Roman"/>
          <w:sz w:val="24"/>
          <w:szCs w:val="24"/>
          <w:lang w:eastAsia="en-US"/>
        </w:rPr>
        <w:tab/>
      </w:r>
      <w:r>
        <w:rPr>
          <w:rFonts w:ascii="Times New Roman" w:hAnsi="Times New Roman" w:cs="Times New Roman"/>
          <w:sz w:val="24"/>
          <w:szCs w:val="24"/>
          <w:lang w:eastAsia="en-US"/>
        </w:rPr>
        <w:t>від 14.03.2018 № 307 "Про затвердження</w:t>
      </w:r>
      <w:r>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Правил ринку"; </w:t>
      </w:r>
    </w:p>
    <w:p>
      <w:pPr>
        <w:numPr>
          <w:ilvl w:val="0"/>
          <w:numId w:val="2"/>
        </w:numPr>
        <w:tabs>
          <w:tab w:val="left" w:pos="284"/>
        </w:tabs>
        <w:suppressAutoHyphens/>
        <w:spacing w:after="0" w:line="0" w:lineRule="atLeast"/>
        <w:ind w:left="0"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Постановою</w:t>
      </w:r>
      <w:r>
        <w:rPr>
          <w:rFonts w:ascii="Times New Roman" w:hAnsi="Times New Roman" w:cs="Times New Roman"/>
          <w:sz w:val="24"/>
          <w:szCs w:val="24"/>
          <w:lang w:eastAsia="en-US"/>
        </w:rPr>
        <w:tab/>
      </w:r>
      <w:r>
        <w:rPr>
          <w:rFonts w:ascii="Times New Roman" w:hAnsi="Times New Roman" w:cs="Times New Roman"/>
          <w:sz w:val="24"/>
          <w:szCs w:val="24"/>
          <w:lang w:eastAsia="en-US"/>
        </w:rPr>
        <w:t>НКРЕКП</w:t>
      </w:r>
      <w:r>
        <w:rPr>
          <w:rFonts w:ascii="Times New Roman" w:hAnsi="Times New Roman" w:cs="Times New Roman"/>
          <w:sz w:val="24"/>
          <w:szCs w:val="24"/>
          <w:lang w:eastAsia="en-US"/>
        </w:rPr>
        <w:tab/>
      </w:r>
      <w:r>
        <w:rPr>
          <w:rFonts w:ascii="Times New Roman" w:hAnsi="Times New Roman" w:cs="Times New Roman"/>
          <w:sz w:val="24"/>
          <w:szCs w:val="24"/>
          <w:lang w:eastAsia="en-US"/>
        </w:rPr>
        <w:t>від 27.12.2017 № 1469 "Про затвердження Ліцензійних</w:t>
      </w:r>
      <w:r>
        <w:rPr>
          <w:rFonts w:ascii="Times New Roman" w:hAnsi="Times New Roman" w:cs="Times New Roman"/>
          <w:sz w:val="24"/>
          <w:szCs w:val="24"/>
          <w:lang w:eastAsia="en-US"/>
        </w:rPr>
        <w:tab/>
      </w:r>
      <w:r>
        <w:rPr>
          <w:rFonts w:ascii="Times New Roman" w:hAnsi="Times New Roman" w:cs="Times New Roman"/>
          <w:sz w:val="24"/>
          <w:szCs w:val="24"/>
          <w:lang w:eastAsia="en-US"/>
        </w:rPr>
        <w:t>умов</w:t>
      </w:r>
      <w:r>
        <w:rPr>
          <w:rFonts w:ascii="Times New Roman" w:hAnsi="Times New Roman" w:cs="Times New Roman"/>
          <w:sz w:val="24"/>
          <w:szCs w:val="24"/>
          <w:lang w:eastAsia="en-US"/>
        </w:rPr>
        <w:tab/>
      </w:r>
      <w:r>
        <w:rPr>
          <w:rFonts w:ascii="Times New Roman" w:hAnsi="Times New Roman" w:cs="Times New Roman"/>
          <w:sz w:val="24"/>
          <w:szCs w:val="24"/>
          <w:lang w:eastAsia="en-US"/>
        </w:rPr>
        <w:t>провадження</w:t>
      </w:r>
      <w:r>
        <w:rPr>
          <w:rFonts w:ascii="Times New Roman" w:hAnsi="Times New Roman" w:cs="Times New Roman"/>
          <w:sz w:val="24"/>
          <w:szCs w:val="24"/>
          <w:lang w:eastAsia="en-US"/>
        </w:rPr>
        <w:tab/>
      </w:r>
      <w:r>
        <w:rPr>
          <w:rFonts w:ascii="Times New Roman" w:hAnsi="Times New Roman" w:cs="Times New Roman"/>
          <w:sz w:val="24"/>
          <w:szCs w:val="24"/>
          <w:lang w:eastAsia="en-US"/>
        </w:rPr>
        <w:t>господарської діяльності</w:t>
      </w:r>
      <w:r>
        <w:rPr>
          <w:rFonts w:ascii="Times New Roman" w:hAnsi="Times New Roman" w:cs="Times New Roman"/>
          <w:sz w:val="24"/>
          <w:szCs w:val="24"/>
          <w:lang w:eastAsia="en-US"/>
        </w:rPr>
        <w:tab/>
      </w:r>
      <w:r>
        <w:rPr>
          <w:rFonts w:ascii="Times New Roman" w:hAnsi="Times New Roman" w:cs="Times New Roman"/>
          <w:sz w:val="24"/>
          <w:szCs w:val="24"/>
          <w:lang w:eastAsia="en-US"/>
        </w:rPr>
        <w:t>з</w:t>
      </w:r>
      <w:r>
        <w:rPr>
          <w:rFonts w:ascii="Times New Roman" w:hAnsi="Times New Roman" w:cs="Times New Roman"/>
          <w:sz w:val="24"/>
          <w:szCs w:val="24"/>
          <w:lang w:eastAsia="en-US"/>
        </w:rPr>
        <w:tab/>
      </w:r>
      <w:r>
        <w:rPr>
          <w:rFonts w:ascii="Times New Roman" w:hAnsi="Times New Roman" w:cs="Times New Roman"/>
          <w:sz w:val="24"/>
          <w:szCs w:val="24"/>
          <w:lang w:eastAsia="en-US"/>
        </w:rPr>
        <w:t>постачання</w:t>
      </w:r>
      <w:r>
        <w:rPr>
          <w:rFonts w:ascii="Times New Roman" w:hAnsi="Times New Roman" w:cs="Times New Roman"/>
          <w:sz w:val="24"/>
          <w:szCs w:val="24"/>
          <w:lang w:eastAsia="en-US"/>
        </w:rPr>
        <w:tab/>
      </w:r>
      <w:r>
        <w:rPr>
          <w:rFonts w:ascii="Times New Roman" w:hAnsi="Times New Roman" w:cs="Times New Roman"/>
          <w:sz w:val="24"/>
          <w:szCs w:val="24"/>
          <w:lang w:eastAsia="en-US"/>
        </w:rPr>
        <w:t>електричної</w:t>
      </w:r>
      <w:r>
        <w:rPr>
          <w:rFonts w:ascii="Times New Roman" w:hAnsi="Times New Roman" w:cs="Times New Roman"/>
          <w:sz w:val="24"/>
          <w:szCs w:val="24"/>
          <w:lang w:eastAsia="en-US"/>
        </w:rPr>
        <w:tab/>
      </w:r>
      <w:r>
        <w:rPr>
          <w:rFonts w:ascii="Times New Roman" w:hAnsi="Times New Roman" w:cs="Times New Roman"/>
          <w:sz w:val="24"/>
          <w:szCs w:val="24"/>
          <w:lang w:eastAsia="en-US"/>
        </w:rPr>
        <w:t>енергії споживачу";</w:t>
      </w:r>
    </w:p>
    <w:p>
      <w:pPr>
        <w:numPr>
          <w:ilvl w:val="0"/>
          <w:numId w:val="2"/>
        </w:numPr>
        <w:tabs>
          <w:tab w:val="left" w:pos="284"/>
        </w:tabs>
        <w:suppressAutoHyphens/>
        <w:spacing w:after="0" w:line="0" w:lineRule="atLeast"/>
        <w:ind w:left="0"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Іншими нормативно-правовими актами, прийнятими на виконання Закону України «Про  </w:t>
      </w:r>
    </w:p>
    <w:p>
      <w:pPr>
        <w:tabs>
          <w:tab w:val="left" w:pos="284"/>
        </w:tabs>
        <w:suppressAutoHyphens/>
        <w:spacing w:after="0" w:line="0" w:lineRule="atLeast"/>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ринок електричної енергії».</w:t>
      </w:r>
    </w:p>
    <w:p>
      <w:pPr>
        <w:tabs>
          <w:tab w:val="left" w:pos="284"/>
        </w:tabs>
        <w:suppressAutoHyphens/>
        <w:spacing w:after="0" w:line="0" w:lineRule="atLeast"/>
        <w:ind w:right="-2"/>
        <w:contextualSpacing/>
        <w:jc w:val="both"/>
        <w:rPr>
          <w:rFonts w:ascii="Times New Roman" w:hAnsi="Times New Roman" w:cs="Times New Roman"/>
          <w:sz w:val="24"/>
          <w:szCs w:val="24"/>
          <w:lang w:eastAsia="en-US"/>
        </w:rPr>
      </w:pPr>
    </w:p>
    <w:p>
      <w:pPr>
        <w:tabs>
          <w:tab w:val="left" w:pos="284"/>
        </w:tabs>
        <w:ind w:right="-2"/>
        <w:jc w:val="both"/>
        <w:rPr>
          <w:rFonts w:ascii="Times New Roman" w:hAnsi="Times New Roman" w:cs="Times New Roman"/>
          <w:sz w:val="24"/>
          <w:szCs w:val="24"/>
          <w:lang w:eastAsia="en-US"/>
        </w:rPr>
      </w:pPr>
      <w:r>
        <w:rPr>
          <w:rFonts w:ascii="Times New Roman" w:hAnsi="Times New Roman" w:cs="Times New Roman"/>
          <w:b/>
          <w:sz w:val="24"/>
          <w:szCs w:val="24"/>
          <w:lang w:eastAsia="en-US"/>
        </w:rPr>
        <w:t>Мета використання товару</w:t>
      </w:r>
      <w:r>
        <w:rPr>
          <w:rFonts w:ascii="Times New Roman" w:hAnsi="Times New Roman" w:cs="Times New Roman"/>
          <w:sz w:val="24"/>
          <w:szCs w:val="24"/>
          <w:lang w:eastAsia="en-US"/>
        </w:rPr>
        <w:t>: для задоволення потреб у споживанні електричної енергії об’єктів Замовника.</w:t>
      </w:r>
    </w:p>
    <w:p>
      <w:pPr>
        <w:tabs>
          <w:tab w:val="left" w:pos="993"/>
          <w:tab w:val="left" w:pos="1560"/>
        </w:tabs>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sz w:val="24"/>
          <w:szCs w:val="24"/>
          <w:lang w:eastAsia="ru-RU"/>
        </w:rPr>
        <w:t xml:space="preserve">До ціни пропозиції учасник зобов’язаний включити витрати на </w:t>
      </w:r>
      <w:r>
        <w:rPr>
          <w:rFonts w:ascii="Times New Roman" w:hAnsi="Times New Roman" w:eastAsia="Times New Roman" w:cs="Times New Roman"/>
          <w:b/>
          <w:bCs/>
          <w:sz w:val="24"/>
          <w:szCs w:val="24"/>
          <w:lang w:eastAsia="ru-RU"/>
        </w:rPr>
        <w:t>послуги з передачі електричної енергії за регульованим тарифом.</w:t>
      </w:r>
    </w:p>
    <w:p>
      <w:pPr>
        <w:tabs>
          <w:tab w:val="left" w:pos="1276"/>
        </w:tabs>
        <w:spacing w:after="0" w:line="240" w:lineRule="auto"/>
        <w:contextualSpacing/>
        <w:jc w:val="both"/>
        <w:rPr>
          <w:rFonts w:ascii="Times New Roman" w:hAnsi="Times New Roman" w:cs="Times New Roman"/>
          <w:iCs/>
          <w:sz w:val="24"/>
          <w:szCs w:val="24"/>
          <w:u w:val="single"/>
          <w:shd w:val="clear" w:color="auto" w:fill="FFFFFF"/>
          <w:lang w:bidi="uk-UA"/>
        </w:rPr>
      </w:pPr>
      <w:r>
        <w:rPr>
          <w:rFonts w:ascii="Times New Roman" w:hAnsi="Times New Roman" w:cs="Times New Roman"/>
          <w:sz w:val="24"/>
          <w:szCs w:val="24"/>
          <w:u w:val="single"/>
          <w:lang w:eastAsia="ru-RU"/>
        </w:rPr>
        <w:t xml:space="preserve">Послуги </w:t>
      </w:r>
      <w:r>
        <w:rPr>
          <w:rFonts w:ascii="Times New Roman" w:hAnsi="Times New Roman" w:cs="Times New Roman"/>
          <w:sz w:val="24"/>
          <w:szCs w:val="24"/>
          <w:u w:val="single"/>
          <w:lang w:eastAsia="en-US"/>
        </w:rPr>
        <w:t xml:space="preserve">з розподілу електричної енергії сплачуються Споживачем/Замовником самостійно безпосередньо  </w:t>
      </w:r>
      <w:r>
        <w:rPr>
          <w:rFonts w:ascii="Times New Roman" w:hAnsi="Times New Roman" w:cs="Times New Roman"/>
          <w:iCs/>
          <w:sz w:val="24"/>
          <w:szCs w:val="24"/>
          <w:u w:val="single"/>
          <w:shd w:val="clear" w:color="auto" w:fill="FFFFFF"/>
          <w:lang w:bidi="uk-UA"/>
        </w:rPr>
        <w:t xml:space="preserve">оператору системи розподілу відповідно до договору про надання послуг з розподілу, укладеним між оператором системи розподілу та </w:t>
      </w:r>
      <w:r>
        <w:rPr>
          <w:rFonts w:ascii="Times New Roman" w:hAnsi="Times New Roman" w:cs="Times New Roman"/>
          <w:sz w:val="24"/>
          <w:szCs w:val="24"/>
          <w:u w:val="single"/>
          <w:lang w:eastAsia="en-US"/>
        </w:rPr>
        <w:t>Споживачем/Замовником</w:t>
      </w:r>
      <w:r>
        <w:rPr>
          <w:rFonts w:ascii="Times New Roman" w:hAnsi="Times New Roman" w:cs="Times New Roman"/>
          <w:iCs/>
          <w:sz w:val="24"/>
          <w:szCs w:val="24"/>
          <w:u w:val="single"/>
          <w:shd w:val="clear" w:color="auto" w:fill="FFFFFF"/>
          <w:lang w:bidi="uk-UA"/>
        </w:rPr>
        <w:t xml:space="preserve">. До ціни пропозиції учасник </w:t>
      </w:r>
      <w:r>
        <w:rPr>
          <w:rFonts w:ascii="Times New Roman" w:hAnsi="Times New Roman" w:cs="Times New Roman"/>
          <w:b/>
          <w:bCs/>
          <w:iCs/>
          <w:sz w:val="24"/>
          <w:szCs w:val="24"/>
          <w:u w:val="single"/>
          <w:shd w:val="clear" w:color="auto" w:fill="FFFFFF"/>
          <w:lang w:bidi="uk-UA"/>
        </w:rPr>
        <w:t>не включає послуги з розподілу електричної енергії.</w:t>
      </w:r>
    </w:p>
    <w:p>
      <w:pPr>
        <w:tabs>
          <w:tab w:val="left" w:pos="1276"/>
        </w:tabs>
        <w:contextualSpacing/>
        <w:jc w:val="both"/>
        <w:rPr>
          <w:rFonts w:ascii="Times New Roman" w:hAnsi="Times New Roman" w:cs="Times New Roman"/>
          <w:sz w:val="24"/>
          <w:szCs w:val="24"/>
          <w:u w:val="single"/>
          <w:lang w:eastAsia="ru-RU"/>
        </w:rPr>
      </w:pPr>
    </w:p>
    <w:p/>
    <w:p/>
    <w:sectPr>
      <w:pgSz w:w="11906" w:h="16838"/>
      <w:pgMar w:top="426" w:right="850" w:bottom="850" w:left="1417"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D87B66"/>
    <w:multiLevelType w:val="multilevel"/>
    <w:tmpl w:val="52D87B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4367060"/>
    <w:multiLevelType w:val="multilevel"/>
    <w:tmpl w:val="54367060"/>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0B5161"/>
    <w:rsid w:val="7F024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uk-UA" w:eastAsia="uk-UA"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2024-02-13T22:23:00Z</dcterms:created>
  <dc:creator>Тустань</dc:creator>
  <cp:lastModifiedBy>Тустань</cp:lastModifiedBy>
  <dcterms:modified xsi:type="dcterms:W3CDTF">2024-02-13T22:25:44Z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FC3560D888234BB0BBF01D4132008B94_12</vt:lpwstr>
  </property>
</Properties>
</file>